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565AEA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583E11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A146D6">
              <w:t xml:space="preserve">Знаки </w:t>
            </w:r>
            <w:proofErr w:type="spellStart"/>
            <w:r w:rsidRPr="00A146D6">
              <w:t>поштової</w:t>
            </w:r>
            <w:proofErr w:type="spellEnd"/>
            <w:r w:rsidRPr="00A146D6">
              <w:t xml:space="preserve"> оплати</w:t>
            </w:r>
            <w:r w:rsidRPr="00A146D6">
              <w:rPr>
                <w:lang w:val="uk-UA"/>
              </w:rPr>
              <w:t xml:space="preserve"> (ЗПО)</w:t>
            </w:r>
            <w:r w:rsidRPr="00A146D6">
              <w:t xml:space="preserve"> марки</w:t>
            </w:r>
            <w:r w:rsidRPr="00A146D6">
              <w:rPr>
                <w:lang w:val="uk-UA"/>
              </w:rPr>
              <w:t xml:space="preserve"> поштові</w:t>
            </w:r>
            <w:r w:rsidRPr="00A146D6">
              <w:rPr>
                <w:rFonts w:eastAsia="Roboto Condensed Light"/>
              </w:rPr>
              <w:t xml:space="preserve"> (код </w:t>
            </w:r>
            <w:r w:rsidRPr="00A146D6">
              <w:t>22410000-7</w:t>
            </w:r>
            <w:r w:rsidRPr="00A146D6">
              <w:rPr>
                <w:rFonts w:eastAsia="Roboto Condensed Light"/>
              </w:rPr>
              <w:t xml:space="preserve"> </w:t>
            </w:r>
            <w:proofErr w:type="spellStart"/>
            <w:r w:rsidRPr="00A146D6">
              <w:rPr>
                <w:rFonts w:eastAsia="Roboto Condensed Light"/>
              </w:rPr>
              <w:t>згідно</w:t>
            </w:r>
            <w:proofErr w:type="spellEnd"/>
            <w:r w:rsidRPr="00A146D6">
              <w:rPr>
                <w:rFonts w:eastAsia="Roboto Condensed Light"/>
              </w:rPr>
              <w:t xml:space="preserve"> ДК 021:2015 </w:t>
            </w:r>
            <w:r w:rsidRPr="00A146D6">
              <w:t>Марки)</w:t>
            </w:r>
            <w:r w:rsidRPr="00A146D6">
              <w:rPr>
                <w:lang w:val="uk-UA"/>
              </w:rPr>
              <w:t>.  В</w:t>
            </w:r>
            <w:r w:rsidRPr="00A146D6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A146D6">
              <w:rPr>
                <w:color w:val="000000"/>
                <w:lang w:val="uk-UA"/>
              </w:rPr>
              <w:t xml:space="preserve"> </w:t>
            </w:r>
            <w:proofErr w:type="spellStart"/>
            <w:r w:rsidRPr="00A146D6">
              <w:rPr>
                <w:color w:val="000000"/>
                <w:lang w:val="uk-UA"/>
              </w:rPr>
              <w:t>ДК</w:t>
            </w:r>
            <w:proofErr w:type="spellEnd"/>
            <w:r w:rsidRPr="00A146D6">
              <w:rPr>
                <w:color w:val="000000"/>
                <w:lang w:val="uk-UA"/>
              </w:rPr>
              <w:t xml:space="preserve"> 021: 2015 – 22412000-1 Нові марки.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C846FF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</w:p>
          <w:p w:rsidR="00C846FF" w:rsidRPr="00C846FF" w:rsidRDefault="00C846FF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6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UA-2021-08-26-016485-a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3E11"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відкриті торги.</w:t>
            </w:r>
          </w:p>
          <w:p w:rsidR="00847A6E" w:rsidRPr="00A146D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</w:p>
          <w:p w:rsidR="00847A6E" w:rsidRPr="00847A6E" w:rsidRDefault="004E5B8A" w:rsidP="004E5B8A">
            <w:pPr>
              <w:shd w:val="clear" w:color="auto" w:fill="FFFFFF"/>
              <w:tabs>
                <w:tab w:val="left" w:pos="49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1" w:name="n84"/>
            <w:bookmarkEnd w:id="1"/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рег</w:t>
            </w:r>
            <w:proofErr w:type="spellEnd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 = V *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тар</w:t>
            </w:r>
            <w:proofErr w:type="spellEnd"/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"/>
              <w:gridCol w:w="703"/>
              <w:gridCol w:w="104"/>
              <w:gridCol w:w="3741"/>
            </w:tblGrid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bookmarkStart w:id="2" w:name="n85"/>
                  <w:bookmarkEnd w:id="2"/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ОВ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Ц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847A6E" w:rsidRPr="00A146D6" w:rsidRDefault="00BF4CBC" w:rsidP="00BF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поштового зв’язку та діяльності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регулюються Законом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зв’язок».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поштовий </w:t>
            </w:r>
            <w:r w:rsidR="0018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</w:t>
            </w:r>
            <w:r w:rsidR="00A3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марка – державний знак,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виготовлений у встановленому законодавством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із зазначенням його номінальної вартості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держави, який є засобом оплати послуг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зв’язку, що надаються національним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оператором. Частиною третьою статті 15 Закону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 перелічені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виключні права національного оператора, де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числі передбачено виключне право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на видання, введення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 та організацію розповсюдження поштових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марок, маркованих конвертів і карток, а також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їх з обігу.</w:t>
            </w:r>
          </w:p>
          <w:p w:rsidR="00977EA2" w:rsidRDefault="004E5B8A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статтею 15 Закону України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поштовий зв’язок» передбачено, що юридична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на яку покладається виконання функцій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оператора, визначається Кабінетом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Національний оператор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 – оператор, який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 надає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універсальні послуги поштового зв’язку на всій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України і якому надаються виключні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на провадження певних видів діяльності 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надання послуг поштового зв’язку за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переліком, який затверджується Кабінетом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Розпорядженням Кабінету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 від 10.01.2002 № 10-р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поштового зв’язку» (зі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змінами) виконання функцій національного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оператора поштового зв’язку покладено 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«Укрпошта». Згідно з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абзацом четвертим пункту 7 Правил надання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поштового зв’язку, затверджених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05.03.2009 № 270 (зі змінами) (далі – Правила)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поштового зв’язку самостійно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 перелік послуг поштового зв’язку, що</w:t>
            </w:r>
            <w:r w:rsidR="005D0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 ними з урахуванням попиту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користувачів, державних замовлень, а також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нормативів, які затверджуються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порядку.</w:t>
            </w:r>
          </w:p>
          <w:p w:rsidR="00977EA2" w:rsidRDefault="00977EA2" w:rsidP="00977EA2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пункту 3 Розділу 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Положення «Про знаки поштової оплати», затвердженого наказом від 24.06.2010 № 388 Міністерства транспорту та зв’язку України, реалізація знаків поштової оплати в об’єктах поштового зв’язку здійснюється 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за номінальною вартістю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марки/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блоки) та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цінами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встановив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56CB" w:rsidRPr="00A146D6" w:rsidRDefault="00977EA2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пунктом 76 Правил тарифи на універсальні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зв'язку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регулюються НКРЗІ.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2021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83DB7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53325B" w:rsidRDefault="0053325B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</w:t>
            </w:r>
            <w:r w:rsidR="00D83DB7"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   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предмета закупівлі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визначено відповідно до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поштової оплати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(ЗПО)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поштових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надсилання поштових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відправлень у вигляді поштових конвертів з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вкладенням письмового повідомлення або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розміри і масу якого встановлено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законодавства України, а саме: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2).</w:t>
            </w:r>
            <w:r w:rsidRPr="001B420F">
              <w:rPr>
                <w:lang w:val="uk-UA"/>
              </w:rPr>
              <w:t xml:space="preserve"> 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456CB" w:rsidRDefault="004954A1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3).</w:t>
            </w:r>
            <w:r w:rsidR="00245756" w:rsidRPr="001B420F">
              <w:rPr>
                <w:lang w:val="uk-UA"/>
              </w:rPr>
              <w:t xml:space="preserve"> 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3,00 </w:t>
            </w:r>
            <w:proofErr w:type="spellStart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DB7" w:rsidRPr="00D83DB7" w:rsidRDefault="00D83DB7" w:rsidP="00D83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      Т</w:t>
            </w:r>
            <w:r w:rsidRPr="00D83DB7"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овар повинен відповідати вимогам предмету закупівлі замовника та 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вимогам Галузевого стандарту України «Зв’язок поштовий. Марки та блоки поштові. Технічні умови. ГСТУ</w:t>
            </w:r>
            <w:r w:rsidRPr="00A86E25">
              <w:rPr>
                <w:rFonts w:ascii="Roboto Condensed Light" w:hAnsi="Roboto Condensed Light" w:cs="Roboto Condensed Light"/>
                <w:sz w:val="24"/>
                <w:szCs w:val="24"/>
              </w:rPr>
              <w:t> 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45.027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noBreakHyphen/>
              <w:t>2003».</w:t>
            </w:r>
          </w:p>
        </w:tc>
      </w:tr>
      <w:tr w:rsidR="00F80D1B" w:rsidRPr="00D83DB7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10040E"/>
    <w:rsid w:val="00101E2E"/>
    <w:rsid w:val="00182DDD"/>
    <w:rsid w:val="00203FA4"/>
    <w:rsid w:val="00207DFE"/>
    <w:rsid w:val="002229AC"/>
    <w:rsid w:val="00245756"/>
    <w:rsid w:val="002A40E0"/>
    <w:rsid w:val="002A4B34"/>
    <w:rsid w:val="00341598"/>
    <w:rsid w:val="003C203F"/>
    <w:rsid w:val="003C6BB0"/>
    <w:rsid w:val="003D7015"/>
    <w:rsid w:val="004954A1"/>
    <w:rsid w:val="00497794"/>
    <w:rsid w:val="004E5B8A"/>
    <w:rsid w:val="0053325B"/>
    <w:rsid w:val="00565AEA"/>
    <w:rsid w:val="00583E11"/>
    <w:rsid w:val="005D0E6C"/>
    <w:rsid w:val="00604EE3"/>
    <w:rsid w:val="00635CD4"/>
    <w:rsid w:val="00674C8C"/>
    <w:rsid w:val="006C4FCB"/>
    <w:rsid w:val="006D1609"/>
    <w:rsid w:val="007448A9"/>
    <w:rsid w:val="007456CB"/>
    <w:rsid w:val="00746CFC"/>
    <w:rsid w:val="00837B5F"/>
    <w:rsid w:val="00847A6E"/>
    <w:rsid w:val="00885E46"/>
    <w:rsid w:val="00896A24"/>
    <w:rsid w:val="008A3FE8"/>
    <w:rsid w:val="0090599C"/>
    <w:rsid w:val="00944B27"/>
    <w:rsid w:val="00962678"/>
    <w:rsid w:val="00977EA2"/>
    <w:rsid w:val="00977F86"/>
    <w:rsid w:val="009C5993"/>
    <w:rsid w:val="00A146D6"/>
    <w:rsid w:val="00A27655"/>
    <w:rsid w:val="00A36555"/>
    <w:rsid w:val="00A82AEB"/>
    <w:rsid w:val="00B00F4E"/>
    <w:rsid w:val="00B8392E"/>
    <w:rsid w:val="00BF4CBC"/>
    <w:rsid w:val="00C846FF"/>
    <w:rsid w:val="00C856E9"/>
    <w:rsid w:val="00C87503"/>
    <w:rsid w:val="00CB794C"/>
    <w:rsid w:val="00D33B0F"/>
    <w:rsid w:val="00D83DB7"/>
    <w:rsid w:val="00DA4DEA"/>
    <w:rsid w:val="00DB5A22"/>
    <w:rsid w:val="00DD495D"/>
    <w:rsid w:val="00E54CCE"/>
    <w:rsid w:val="00EB3F36"/>
    <w:rsid w:val="00EC2A95"/>
    <w:rsid w:val="00F2450F"/>
    <w:rsid w:val="00F37411"/>
    <w:rsid w:val="00F80D1B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42</cp:revision>
  <cp:lastPrinted>2021-08-20T08:10:00Z</cp:lastPrinted>
  <dcterms:created xsi:type="dcterms:W3CDTF">2021-02-09T13:41:00Z</dcterms:created>
  <dcterms:modified xsi:type="dcterms:W3CDTF">2021-08-26T13:24:00Z</dcterms:modified>
</cp:coreProperties>
</file>